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4C" w:rsidRPr="0084684C" w:rsidRDefault="0084684C" w:rsidP="0084684C">
      <w:pPr>
        <w:bidi/>
        <w:spacing w:before="240" w:after="120" w:line="360" w:lineRule="auto"/>
        <w:jc w:val="center"/>
        <w:outlineLvl w:val="0"/>
        <w:rPr>
          <w:rFonts w:ascii="Calibri" w:eastAsia="Calibri" w:hAnsi="Calibri" w:cs="B Lotus"/>
          <w:sz w:val="28"/>
          <w:szCs w:val="28"/>
          <w:lang w:bidi="fa-IR"/>
        </w:rPr>
      </w:pPr>
      <w:bookmarkStart w:id="0" w:name="_Toc381114318"/>
      <w:r w:rsidRPr="0084684C">
        <w:rPr>
          <w:rFonts w:ascii="Calibri" w:eastAsia="Calibri" w:hAnsi="Calibri" w:cs="B Lotus" w:hint="cs"/>
          <w:b/>
          <w:bCs/>
          <w:sz w:val="28"/>
          <w:szCs w:val="28"/>
          <w:rtl/>
          <w:lang w:bidi="fa-IR"/>
        </w:rPr>
        <w:t>پرسشنامه پرخاشگری باس و پری</w:t>
      </w:r>
      <w:bookmarkEnd w:id="0"/>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نسخه جدید پرسشنامه پرخاشگری که نسخه قبلی آن تحت عنوان پرسشنامه خصومت بود، توسط باس و پری (1992) مورد بازنگری قرار گرفت. این پرسشنامه یک ابزار خود</w:t>
      </w:r>
      <w:r w:rsidRPr="0084684C">
        <w:rPr>
          <w:rFonts w:ascii="Calibri" w:eastAsia="Calibri" w:hAnsi="Calibri" w:cs="B Lotus" w:hint="cs"/>
          <w:b/>
          <w:bCs/>
          <w:sz w:val="28"/>
          <w:szCs w:val="28"/>
          <w:rtl/>
          <w:lang w:bidi="fa-IR"/>
        </w:rPr>
        <w:t xml:space="preserve"> گزارشی است </w:t>
      </w:r>
      <w:r w:rsidRPr="0084684C">
        <w:rPr>
          <w:rFonts w:ascii="Calibri" w:eastAsia="Calibri" w:hAnsi="Calibri" w:cs="B Lotus" w:hint="cs"/>
          <w:sz w:val="28"/>
          <w:szCs w:val="28"/>
          <w:rtl/>
          <w:lang w:bidi="fa-IR"/>
        </w:rPr>
        <w:t>که شامل 29 عبارت و چهار زیر مقیاس است، که عبارت است ازپرخاشگری بدنی</w:t>
      </w:r>
      <w:r w:rsidRPr="0084684C">
        <w:rPr>
          <w:rFonts w:ascii="Calibri" w:eastAsia="Calibri" w:hAnsi="Calibri" w:cs="B Lotus"/>
          <w:sz w:val="28"/>
          <w:szCs w:val="28"/>
          <w:vertAlign w:val="superscript"/>
          <w:rtl/>
          <w:lang w:bidi="fa-IR"/>
        </w:rPr>
        <w:footnoteReference w:id="1"/>
      </w:r>
      <w:r w:rsidRPr="0084684C">
        <w:rPr>
          <w:rFonts w:ascii="Calibri" w:eastAsia="Calibri" w:hAnsi="Calibri" w:cs="B Lotus" w:hint="cs"/>
          <w:sz w:val="28"/>
          <w:szCs w:val="28"/>
          <w:rtl/>
          <w:lang w:bidi="fa-IR"/>
        </w:rPr>
        <w:t xml:space="preserve"> (</w:t>
      </w:r>
      <w:r w:rsidRPr="0084684C">
        <w:rPr>
          <w:rFonts w:ascii="Times New Roman" w:eastAsia="Calibri" w:hAnsi="Times New Roman" w:cs="Times New Roman"/>
          <w:sz w:val="28"/>
          <w:szCs w:val="28"/>
          <w:lang w:bidi="fa-IR"/>
        </w:rPr>
        <w:t>PA</w:t>
      </w:r>
      <w:r w:rsidRPr="0084684C">
        <w:rPr>
          <w:rFonts w:ascii="Calibri" w:eastAsia="Calibri" w:hAnsi="Calibri" w:cs="B Lotus" w:hint="cs"/>
          <w:sz w:val="28"/>
          <w:szCs w:val="28"/>
          <w:rtl/>
          <w:lang w:bidi="fa-IR"/>
        </w:rPr>
        <w:t>)،پرخاشگری کلامی(</w:t>
      </w:r>
      <w:r w:rsidRPr="0084684C">
        <w:rPr>
          <w:rFonts w:ascii="Times New Roman" w:eastAsia="Calibri" w:hAnsi="Times New Roman" w:cs="Times New Roman"/>
          <w:sz w:val="28"/>
          <w:szCs w:val="28"/>
          <w:lang w:bidi="fa-IR"/>
        </w:rPr>
        <w:t>VA</w:t>
      </w:r>
      <w:r w:rsidRPr="0084684C">
        <w:rPr>
          <w:rFonts w:ascii="Calibri" w:eastAsia="Calibri" w:hAnsi="Calibri" w:cs="B Lotus" w:hint="cs"/>
          <w:sz w:val="28"/>
          <w:szCs w:val="28"/>
          <w:rtl/>
          <w:lang w:bidi="fa-IR"/>
        </w:rPr>
        <w:t>)</w:t>
      </w:r>
      <w:r w:rsidRPr="0084684C">
        <w:rPr>
          <w:rFonts w:ascii="Calibri" w:eastAsia="Calibri" w:hAnsi="Calibri" w:cs="B Lotus"/>
          <w:sz w:val="28"/>
          <w:szCs w:val="28"/>
          <w:vertAlign w:val="superscript"/>
          <w:rtl/>
          <w:lang w:bidi="fa-IR"/>
        </w:rPr>
        <w:footnoteReference w:id="2"/>
      </w:r>
      <w:r w:rsidRPr="0084684C">
        <w:rPr>
          <w:rFonts w:ascii="Calibri" w:eastAsia="Calibri" w:hAnsi="Calibri" w:cs="B Lotus" w:hint="cs"/>
          <w:sz w:val="28"/>
          <w:szCs w:val="28"/>
          <w:rtl/>
          <w:lang w:bidi="fa-IR"/>
        </w:rPr>
        <w:t xml:space="preserve"> ، خشم(</w:t>
      </w:r>
      <w:r w:rsidRPr="0084684C">
        <w:rPr>
          <w:rFonts w:ascii="Times New Roman" w:eastAsia="Calibri" w:hAnsi="Times New Roman" w:cs="Times New Roman"/>
          <w:sz w:val="28"/>
          <w:szCs w:val="28"/>
          <w:lang w:bidi="fa-IR"/>
        </w:rPr>
        <w:t>A</w:t>
      </w:r>
      <w:r w:rsidRPr="0084684C">
        <w:rPr>
          <w:rFonts w:ascii="Calibri" w:eastAsia="Calibri" w:hAnsi="Calibri" w:cs="B Lotus" w:hint="cs"/>
          <w:sz w:val="28"/>
          <w:szCs w:val="28"/>
          <w:rtl/>
          <w:lang w:bidi="fa-IR"/>
        </w:rPr>
        <w:t>)</w:t>
      </w:r>
      <w:r w:rsidRPr="0084684C">
        <w:rPr>
          <w:rFonts w:ascii="Calibri" w:eastAsia="Calibri" w:hAnsi="Calibri" w:cs="B Lotus"/>
          <w:sz w:val="28"/>
          <w:szCs w:val="28"/>
          <w:vertAlign w:val="superscript"/>
          <w:rtl/>
          <w:lang w:bidi="fa-IR"/>
        </w:rPr>
        <w:footnoteReference w:id="3"/>
      </w:r>
      <w:r w:rsidRPr="0084684C">
        <w:rPr>
          <w:rFonts w:ascii="Calibri" w:eastAsia="Calibri" w:hAnsi="Calibri" w:cs="B Lotus" w:hint="cs"/>
          <w:sz w:val="28"/>
          <w:szCs w:val="28"/>
          <w:rtl/>
          <w:lang w:bidi="fa-IR"/>
        </w:rPr>
        <w:t xml:space="preserve"> ، و خصومت(</w:t>
      </w:r>
      <w:r w:rsidRPr="0084684C">
        <w:rPr>
          <w:rFonts w:ascii="Times New Roman" w:eastAsia="Calibri" w:hAnsi="Times New Roman" w:cs="Times New Roman"/>
          <w:sz w:val="28"/>
          <w:szCs w:val="28"/>
          <w:lang w:bidi="fa-IR"/>
        </w:rPr>
        <w:t>H</w:t>
      </w:r>
      <w:r w:rsidRPr="0084684C">
        <w:rPr>
          <w:rFonts w:ascii="Calibri" w:eastAsia="Calibri" w:hAnsi="Calibri" w:cs="B Lotus" w:hint="cs"/>
          <w:sz w:val="28"/>
          <w:szCs w:val="28"/>
          <w:rtl/>
          <w:lang w:bidi="fa-IR"/>
        </w:rPr>
        <w:t>)</w:t>
      </w:r>
      <w:r w:rsidRPr="0084684C">
        <w:rPr>
          <w:rFonts w:ascii="Calibri" w:eastAsia="Calibri" w:hAnsi="Calibri" w:cs="B Lotus"/>
          <w:sz w:val="28"/>
          <w:szCs w:val="28"/>
          <w:vertAlign w:val="superscript"/>
          <w:rtl/>
          <w:lang w:bidi="fa-IR"/>
        </w:rPr>
        <w:footnoteReference w:id="4"/>
      </w:r>
      <w:r w:rsidRPr="0084684C">
        <w:rPr>
          <w:rFonts w:ascii="Calibri" w:eastAsia="Calibri" w:hAnsi="Calibri" w:cs="B Lotus" w:hint="cs"/>
          <w:sz w:val="28"/>
          <w:szCs w:val="28"/>
          <w:rtl/>
          <w:lang w:bidi="fa-IR"/>
        </w:rPr>
        <w:t xml:space="preserve"> ، آزمودنی ها به هر یک از عبارات در یک طیف 5 درجه ای از: کاملاً شبیه من است (5)، تا حدودی شبیه من است(4)، نه شبیه من است نه شبیه من نیست(3)، تا حدودی شبیه من نیست(2)،  تا به شدت شبیه من نیست(1). دو عبارت 9 و 16 به صورت معکوس نمره گذاری می شوند. نمره کل برای پرخاشگری با مجموع نمرات زیرمقیاس ها بدست می آید. </w:t>
      </w:r>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کلید نمره گذاری:</w:t>
      </w:r>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پرخاشگری بدنی، شامل 9 عبارت: 2- 5- 8- 11- 13- 16- 22- 25- 29.</w:t>
      </w:r>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پرخاشگری کلامی، شامل 5 عبارت: 4- 6- 14- 21- 27.</w:t>
      </w:r>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خشم، شامل 7 عبارت: 1- 9- 12- 18- 19- 23- 28.</w:t>
      </w:r>
    </w:p>
    <w:p w:rsidR="0084684C" w:rsidRDefault="0084684C" w:rsidP="0084684C">
      <w:pPr>
        <w:bidi/>
        <w:spacing w:after="0" w:line="360" w:lineRule="auto"/>
        <w:jc w:val="both"/>
        <w:rPr>
          <w:rFonts w:ascii="Calibri" w:eastAsia="Calibri" w:hAnsi="Calibri" w:cs="B Lotus"/>
          <w:sz w:val="28"/>
          <w:szCs w:val="28"/>
          <w:lang w:bidi="fa-IR"/>
        </w:rPr>
      </w:pPr>
      <w:r w:rsidRPr="0084684C">
        <w:rPr>
          <w:rFonts w:ascii="Calibri" w:eastAsia="Calibri" w:hAnsi="Calibri" w:cs="B Lotus" w:hint="cs"/>
          <w:sz w:val="28"/>
          <w:szCs w:val="28"/>
          <w:rtl/>
          <w:lang w:bidi="fa-IR"/>
        </w:rPr>
        <w:t>خصومت، شامل 8 عبارت: 3- 7- 10- 15- 17- 20- 24- 26.</w:t>
      </w:r>
    </w:p>
    <w:p w:rsidR="0084684C" w:rsidRDefault="0084684C" w:rsidP="0084684C">
      <w:pPr>
        <w:bidi/>
        <w:spacing w:after="0" w:line="360" w:lineRule="auto"/>
        <w:jc w:val="both"/>
        <w:rPr>
          <w:rFonts w:ascii="Calibri" w:eastAsia="Calibri" w:hAnsi="Calibri" w:cs="B Lotus"/>
          <w:sz w:val="28"/>
          <w:szCs w:val="28"/>
          <w:lang w:bidi="fa-IR"/>
        </w:rPr>
      </w:pPr>
    </w:p>
    <w:p w:rsidR="0084684C" w:rsidRDefault="0084684C" w:rsidP="0084684C">
      <w:pPr>
        <w:bidi/>
        <w:spacing w:after="0" w:line="360" w:lineRule="auto"/>
        <w:jc w:val="both"/>
        <w:rPr>
          <w:rFonts w:ascii="Calibri" w:eastAsia="Calibri" w:hAnsi="Calibri" w:cs="B Lotus"/>
          <w:sz w:val="28"/>
          <w:szCs w:val="28"/>
          <w:lang w:bidi="fa-IR"/>
        </w:rPr>
      </w:pPr>
    </w:p>
    <w:p w:rsidR="0084684C" w:rsidRDefault="0084684C" w:rsidP="0084684C">
      <w:pPr>
        <w:bidi/>
        <w:spacing w:after="0" w:line="360" w:lineRule="auto"/>
        <w:jc w:val="both"/>
        <w:rPr>
          <w:rFonts w:ascii="Calibri" w:eastAsia="Calibri" w:hAnsi="Calibri" w:cs="B Lotus"/>
          <w:sz w:val="28"/>
          <w:szCs w:val="28"/>
          <w:lang w:bidi="fa-IR"/>
        </w:rPr>
      </w:pPr>
    </w:p>
    <w:p w:rsidR="0084684C" w:rsidRPr="0084684C" w:rsidRDefault="0084684C" w:rsidP="0084684C">
      <w:pPr>
        <w:bidi/>
        <w:spacing w:after="0" w:line="360" w:lineRule="auto"/>
        <w:jc w:val="both"/>
        <w:rPr>
          <w:rFonts w:ascii="Calibri" w:eastAsia="Calibri" w:hAnsi="Calibri" w:cs="B Lotus" w:hint="cs"/>
          <w:sz w:val="28"/>
          <w:szCs w:val="28"/>
          <w:rtl/>
          <w:lang w:bidi="fa-IR"/>
        </w:rPr>
      </w:pPr>
      <w:bookmarkStart w:id="1" w:name="_GoBack"/>
      <w:bookmarkEnd w:id="1"/>
      <w:r w:rsidRPr="0084684C">
        <w:rPr>
          <w:rFonts w:ascii="Calibri" w:eastAsia="Calibri" w:hAnsi="Calibri" w:cs="B Lotus" w:hint="cs"/>
          <w:sz w:val="28"/>
          <w:szCs w:val="28"/>
          <w:rtl/>
          <w:lang w:bidi="fa-IR"/>
        </w:rPr>
        <w:lastRenderedPageBreak/>
        <w:t>پرسشنامه پرخاشگری دارای اعتبار وروایی قابل قبولی است.نتایج ضریب بازآزمایی برای چهار زیرمقیاس (با فاصله 9 هفته) 80/0 تا 72/0 و همبستگی بین چهار زیرمقیاس 38/0 تا 49/0 بدست آمده است.</w:t>
      </w:r>
    </w:p>
    <w:p w:rsidR="0084684C" w:rsidRPr="0084684C" w:rsidRDefault="0084684C" w:rsidP="0084684C">
      <w:pPr>
        <w:bidi/>
        <w:spacing w:after="0" w:line="360" w:lineRule="auto"/>
        <w:jc w:val="both"/>
        <w:rPr>
          <w:rFonts w:ascii="Calibri" w:eastAsia="Calibri" w:hAnsi="Calibri" w:cs="B Lotus" w:hint="cs"/>
          <w:sz w:val="28"/>
          <w:szCs w:val="28"/>
          <w:rtl/>
          <w:lang w:bidi="fa-IR"/>
        </w:rPr>
      </w:pPr>
      <w:r w:rsidRPr="0084684C">
        <w:rPr>
          <w:rFonts w:ascii="Calibri" w:eastAsia="Calibri" w:hAnsi="Calibri" w:cs="B Lotus" w:hint="cs"/>
          <w:sz w:val="28"/>
          <w:szCs w:val="28"/>
          <w:rtl/>
          <w:lang w:bidi="fa-IR"/>
        </w:rPr>
        <w:t>جهت سنجش اعتبار درونی مقیاس از ضریب آلفای کرونباخ استفاده شد که نتایج نشانگر همسانی درونی زیرمقیاس پرخاشگری بدنی 82/0، پرخاشگری کلامی 81/0، خشم 83/0 و خصومت 80/0 بود. (باس وپری،1992). آلفای کرونباخ دراین پژوهش طبق جدول زیر می باشد:</w:t>
      </w:r>
    </w:p>
    <w:p w:rsidR="0084684C" w:rsidRPr="0084684C" w:rsidRDefault="0084684C" w:rsidP="0084684C">
      <w:pPr>
        <w:bidi/>
        <w:spacing w:after="0" w:line="360" w:lineRule="auto"/>
        <w:jc w:val="center"/>
        <w:outlineLvl w:val="1"/>
        <w:rPr>
          <w:rFonts w:ascii="Calibri" w:eastAsia="Calibri" w:hAnsi="Calibri" w:cs="B Lotus" w:hint="cs"/>
          <w:b/>
          <w:bCs/>
          <w:sz w:val="28"/>
          <w:szCs w:val="28"/>
          <w:rtl/>
          <w:lang w:bidi="fa-IR"/>
        </w:rPr>
      </w:pPr>
      <w:bookmarkStart w:id="2" w:name="_Toc381114319"/>
      <w:r w:rsidRPr="0084684C">
        <w:rPr>
          <w:rFonts w:ascii="Calibri" w:eastAsia="Calibri" w:hAnsi="Calibri" w:cs="B Lotus" w:hint="cs"/>
          <w:b/>
          <w:bCs/>
          <w:color w:val="000000"/>
          <w:sz w:val="28"/>
          <w:szCs w:val="28"/>
          <w:rtl/>
          <w:lang w:bidi="fa-IR"/>
        </w:rPr>
        <w:t>جدول شماره11-3آلفای کرونباخ پرسشنامه پرخاشگری</w:t>
      </w:r>
      <w:bookmarkEnd w:id="2"/>
    </w:p>
    <w:tbl>
      <w:tblPr>
        <w:tblStyle w:val="TableGrid"/>
        <w:tblpPr w:leftFromText="180" w:rightFromText="180" w:vertAnchor="text" w:horzAnchor="margin" w:tblpY="412"/>
        <w:bidiVisual/>
        <w:tblW w:w="0" w:type="auto"/>
        <w:tblInd w:w="0" w:type="dxa"/>
        <w:tblLook w:val="04A0" w:firstRow="1" w:lastRow="0" w:firstColumn="1" w:lastColumn="0" w:noHBand="0" w:noVBand="1"/>
      </w:tblPr>
      <w:tblGrid>
        <w:gridCol w:w="3021"/>
        <w:gridCol w:w="2991"/>
        <w:gridCol w:w="2991"/>
      </w:tblGrid>
      <w:tr w:rsidR="0084684C" w:rsidRPr="0084684C" w:rsidTr="0084684C">
        <w:trPr>
          <w:trHeight w:val="522"/>
        </w:trPr>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پرسشنامه پرخاشگری</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آلفای کرونباخ درپیش آزمون</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آلفای کرونباخ درپس آزمون</w:t>
            </w:r>
          </w:p>
        </w:tc>
      </w:tr>
      <w:tr w:rsidR="0084684C" w:rsidRPr="0084684C" w:rsidTr="0084684C">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پرخاشگری بدنی</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61/0</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68/0</w:t>
            </w:r>
          </w:p>
        </w:tc>
      </w:tr>
      <w:tr w:rsidR="0084684C" w:rsidRPr="0084684C" w:rsidTr="0084684C">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 xml:space="preserve">پرخاشگری کلامی </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29/0</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55/0</w:t>
            </w:r>
          </w:p>
        </w:tc>
      </w:tr>
      <w:tr w:rsidR="0084684C" w:rsidRPr="0084684C" w:rsidTr="0084684C">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خشم</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71/0</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77/0</w:t>
            </w:r>
          </w:p>
        </w:tc>
      </w:tr>
      <w:tr w:rsidR="0084684C" w:rsidRPr="0084684C" w:rsidTr="0084684C">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خصومت</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72/0</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73/0</w:t>
            </w:r>
          </w:p>
        </w:tc>
      </w:tr>
      <w:tr w:rsidR="0084684C" w:rsidRPr="0084684C" w:rsidTr="0084684C">
        <w:tc>
          <w:tcPr>
            <w:tcW w:w="302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پرخاشگری(نمره کل)</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86/0</w:t>
            </w:r>
          </w:p>
        </w:tc>
        <w:tc>
          <w:tcPr>
            <w:tcW w:w="2991" w:type="dxa"/>
            <w:tcBorders>
              <w:top w:val="single" w:sz="4" w:space="0" w:color="000000"/>
              <w:left w:val="single" w:sz="4" w:space="0" w:color="000000"/>
              <w:bottom w:val="single" w:sz="4" w:space="0" w:color="000000"/>
              <w:right w:val="single" w:sz="4" w:space="0" w:color="000000"/>
            </w:tcBorders>
            <w:hideMark/>
          </w:tcPr>
          <w:p w:rsidR="0084684C" w:rsidRPr="0084684C" w:rsidRDefault="0084684C" w:rsidP="0084684C">
            <w:pPr>
              <w:bidi/>
              <w:jc w:val="center"/>
              <w:rPr>
                <w:rFonts w:ascii="Calibri" w:eastAsia="Calibri" w:hAnsi="Calibri" w:cs="B Lotus"/>
                <w:szCs w:val="28"/>
              </w:rPr>
            </w:pPr>
            <w:r w:rsidRPr="0084684C">
              <w:rPr>
                <w:rFonts w:ascii="Calibri" w:eastAsia="Calibri" w:hAnsi="Calibri" w:cs="B Lotus" w:hint="cs"/>
                <w:szCs w:val="28"/>
                <w:rtl/>
              </w:rPr>
              <w:t>88/0</w:t>
            </w:r>
          </w:p>
        </w:tc>
      </w:tr>
    </w:tbl>
    <w:p w:rsidR="005E7D4B" w:rsidRPr="00CE116B" w:rsidRDefault="005E7D4B" w:rsidP="00CE116B">
      <w:pPr>
        <w:bidi/>
        <w:rPr>
          <w:rFonts w:cs="B Lotus"/>
          <w:sz w:val="28"/>
          <w:szCs w:val="28"/>
          <w:rtl/>
          <w:lang w:bidi="fa-IR"/>
        </w:rPr>
      </w:pPr>
    </w:p>
    <w:sectPr w:rsidR="005E7D4B" w:rsidRPr="00CE1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AF" w:rsidRDefault="00BB18AF" w:rsidP="0084684C">
      <w:pPr>
        <w:spacing w:after="0" w:line="240" w:lineRule="auto"/>
      </w:pPr>
      <w:r>
        <w:separator/>
      </w:r>
    </w:p>
  </w:endnote>
  <w:endnote w:type="continuationSeparator" w:id="0">
    <w:p w:rsidR="00BB18AF" w:rsidRDefault="00BB18AF" w:rsidP="0084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AF" w:rsidRDefault="00BB18AF" w:rsidP="0084684C">
      <w:pPr>
        <w:spacing w:after="0" w:line="240" w:lineRule="auto"/>
      </w:pPr>
      <w:r>
        <w:separator/>
      </w:r>
    </w:p>
  </w:footnote>
  <w:footnote w:type="continuationSeparator" w:id="0">
    <w:p w:rsidR="00BB18AF" w:rsidRDefault="00BB18AF" w:rsidP="0084684C">
      <w:pPr>
        <w:spacing w:after="0" w:line="240" w:lineRule="auto"/>
      </w:pPr>
      <w:r>
        <w:continuationSeparator/>
      </w:r>
    </w:p>
  </w:footnote>
  <w:footnote w:id="1">
    <w:p w:rsidR="0084684C" w:rsidRDefault="0084684C" w:rsidP="0084684C">
      <w:pPr>
        <w:pStyle w:val="FootnoteText"/>
        <w:rPr>
          <w:rFonts w:ascii="Times New Roman" w:cs="Traditional Arabic" w:hint="cs"/>
          <w:rtl/>
          <w:lang w:bidi="fa-IR"/>
        </w:rPr>
      </w:pPr>
      <w:r>
        <w:rPr>
          <w:rStyle w:val="FootnoteReference"/>
        </w:rPr>
        <w:footnoteRef/>
      </w:r>
      <w:r>
        <w:rPr>
          <w:rtl/>
        </w:rPr>
        <w:t xml:space="preserve"> </w:t>
      </w:r>
      <w:r>
        <w:rPr>
          <w:lang w:bidi="fa-IR"/>
        </w:rPr>
        <w:t>-</w:t>
      </w:r>
      <w:r>
        <w:rPr>
          <w:rFonts w:cs="Times New Roman"/>
          <w:lang w:bidi="fa-IR"/>
        </w:rPr>
        <w:t xml:space="preserve"> physical aggression</w:t>
      </w:r>
    </w:p>
  </w:footnote>
  <w:footnote w:id="2">
    <w:p w:rsidR="0084684C" w:rsidRDefault="0084684C" w:rsidP="0084684C">
      <w:pPr>
        <w:pStyle w:val="FootnoteText"/>
        <w:rPr>
          <w:lang w:bidi="fa-IR"/>
        </w:rPr>
      </w:pPr>
      <w:r>
        <w:rPr>
          <w:rStyle w:val="FootnoteReference"/>
        </w:rPr>
        <w:footnoteRef/>
      </w:r>
      <w:r>
        <w:rPr>
          <w:rtl/>
        </w:rPr>
        <w:t xml:space="preserve"> </w:t>
      </w:r>
      <w:r>
        <w:rPr>
          <w:lang w:bidi="fa-IR"/>
        </w:rPr>
        <w:t>-</w:t>
      </w:r>
      <w:r>
        <w:rPr>
          <w:rFonts w:cs="Times New Roman"/>
          <w:lang w:bidi="fa-IR"/>
        </w:rPr>
        <w:t xml:space="preserve"> verbal aggression</w:t>
      </w:r>
    </w:p>
  </w:footnote>
  <w:footnote w:id="3">
    <w:p w:rsidR="0084684C" w:rsidRDefault="0084684C" w:rsidP="0084684C">
      <w:pPr>
        <w:pStyle w:val="FootnoteText"/>
        <w:rPr>
          <w:lang w:bidi="fa-IR"/>
        </w:rPr>
      </w:pPr>
      <w:r>
        <w:rPr>
          <w:rStyle w:val="FootnoteReference"/>
        </w:rPr>
        <w:footnoteRef/>
      </w:r>
      <w:r>
        <w:rPr>
          <w:rtl/>
        </w:rPr>
        <w:t xml:space="preserve"> </w:t>
      </w:r>
      <w:r>
        <w:rPr>
          <w:lang w:bidi="fa-IR"/>
        </w:rPr>
        <w:t>-</w:t>
      </w:r>
      <w:r>
        <w:rPr>
          <w:rFonts w:cs="Times New Roman"/>
          <w:lang w:bidi="fa-IR"/>
        </w:rPr>
        <w:t xml:space="preserve"> anger</w:t>
      </w:r>
    </w:p>
  </w:footnote>
  <w:footnote w:id="4">
    <w:p w:rsidR="0084684C" w:rsidRDefault="0084684C" w:rsidP="0084684C">
      <w:pPr>
        <w:pStyle w:val="FootnoteText"/>
        <w:rPr>
          <w:lang w:bidi="fa-IR"/>
        </w:rPr>
      </w:pPr>
      <w:r>
        <w:rPr>
          <w:rStyle w:val="FootnoteReference"/>
        </w:rPr>
        <w:footnoteRef/>
      </w:r>
      <w:r>
        <w:rPr>
          <w:rtl/>
        </w:rPr>
        <w:t xml:space="preserve"> </w:t>
      </w:r>
      <w:r>
        <w:rPr>
          <w:lang w:bidi="fa-IR"/>
        </w:rPr>
        <w:t>-</w:t>
      </w:r>
      <w:r>
        <w:rPr>
          <w:rFonts w:cs="Times New Roman"/>
          <w:lang w:bidi="fa-IR"/>
        </w:rPr>
        <w:t xml:space="preserve"> hostility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6B"/>
    <w:rsid w:val="005E7D4B"/>
    <w:rsid w:val="0084684C"/>
    <w:rsid w:val="00BB18AF"/>
    <w:rsid w:val="00CE1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84C"/>
    <w:rPr>
      <w:sz w:val="20"/>
      <w:szCs w:val="20"/>
    </w:rPr>
  </w:style>
  <w:style w:type="character" w:styleId="FootnoteReference">
    <w:name w:val="footnote reference"/>
    <w:basedOn w:val="DefaultParagraphFont"/>
    <w:semiHidden/>
    <w:unhideWhenUsed/>
    <w:rsid w:val="0084684C"/>
    <w:rPr>
      <w:vertAlign w:val="superscript"/>
    </w:rPr>
  </w:style>
  <w:style w:type="table" w:styleId="TableGrid">
    <w:name w:val="Table Grid"/>
    <w:basedOn w:val="TableNormal"/>
    <w:uiPriority w:val="59"/>
    <w:rsid w:val="0084684C"/>
    <w:pPr>
      <w:spacing w:after="0" w:line="240" w:lineRule="auto"/>
    </w:pPr>
    <w:rPr>
      <w:rFonts w:ascii="Times New Roman" w:eastAsia="Times New Roman" w:hAnsi="Times New Roman" w:cs="Traditional Arabic"/>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84C"/>
    <w:rPr>
      <w:sz w:val="20"/>
      <w:szCs w:val="20"/>
    </w:rPr>
  </w:style>
  <w:style w:type="character" w:styleId="FootnoteReference">
    <w:name w:val="footnote reference"/>
    <w:basedOn w:val="DefaultParagraphFont"/>
    <w:semiHidden/>
    <w:unhideWhenUsed/>
    <w:rsid w:val="0084684C"/>
    <w:rPr>
      <w:vertAlign w:val="superscript"/>
    </w:rPr>
  </w:style>
  <w:style w:type="table" w:styleId="TableGrid">
    <w:name w:val="Table Grid"/>
    <w:basedOn w:val="TableNormal"/>
    <w:uiPriority w:val="59"/>
    <w:rsid w:val="0084684C"/>
    <w:pPr>
      <w:spacing w:after="0" w:line="240" w:lineRule="auto"/>
    </w:pPr>
    <w:rPr>
      <w:rFonts w:ascii="Times New Roman" w:eastAsia="Times New Roman" w:hAnsi="Times New Roman" w:cs="Traditional Arabic"/>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radin</cp:lastModifiedBy>
  <cp:revision>2</cp:revision>
  <dcterms:created xsi:type="dcterms:W3CDTF">2017-03-22T16:21:00Z</dcterms:created>
  <dcterms:modified xsi:type="dcterms:W3CDTF">2017-03-23T15:27:00Z</dcterms:modified>
</cp:coreProperties>
</file>